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7D10" w:rsidRDefault="009C495A" w:rsidP="00956039">
      <w:pPr>
        <w:jc w:val="left"/>
        <w:rPr>
          <w:rFonts w:ascii="仿宋" w:eastAsia="仿宋" w:hAnsi="仿宋" w:cs="仿宋"/>
          <w:b/>
          <w:bCs/>
          <w:sz w:val="28"/>
          <w:szCs w:val="36"/>
        </w:rPr>
      </w:pPr>
      <w:r>
        <w:rPr>
          <w:rFonts w:ascii="仿宋" w:eastAsia="仿宋" w:hAnsi="仿宋" w:cs="仿宋" w:hint="eastAsia"/>
          <w:b/>
          <w:bCs/>
          <w:sz w:val="28"/>
          <w:szCs w:val="36"/>
        </w:rPr>
        <w:t>北京大学中外人文交流研究基地连续两年荣获CTTI年度智库最佳案例“标杆案例”奖和优秀成果</w:t>
      </w:r>
      <w:r w:rsidR="009C5C03">
        <w:rPr>
          <w:rFonts w:ascii="仿宋" w:eastAsia="仿宋" w:hAnsi="仿宋" w:cs="仿宋" w:hint="eastAsia"/>
          <w:b/>
          <w:bCs/>
          <w:sz w:val="28"/>
          <w:szCs w:val="36"/>
        </w:rPr>
        <w:t>“</w:t>
      </w:r>
      <w:r>
        <w:rPr>
          <w:rFonts w:ascii="仿宋" w:eastAsia="仿宋" w:hAnsi="仿宋" w:cs="仿宋" w:hint="eastAsia"/>
          <w:b/>
          <w:bCs/>
          <w:sz w:val="28"/>
          <w:szCs w:val="36"/>
        </w:rPr>
        <w:t>特等奖</w:t>
      </w:r>
      <w:r w:rsidR="009C5C03">
        <w:rPr>
          <w:rFonts w:ascii="仿宋" w:eastAsia="仿宋" w:hAnsi="仿宋" w:cs="仿宋" w:hint="eastAsia"/>
          <w:b/>
          <w:bCs/>
          <w:sz w:val="28"/>
          <w:szCs w:val="36"/>
        </w:rPr>
        <w:t>”</w:t>
      </w:r>
    </w:p>
    <w:p w:rsidR="00BC392E" w:rsidRDefault="00BC392E" w:rsidP="00956039">
      <w:pPr>
        <w:jc w:val="left"/>
        <w:rPr>
          <w:rFonts w:ascii="仿宋" w:eastAsia="仿宋" w:hAnsi="仿宋" w:cs="仿宋"/>
          <w:b/>
          <w:bCs/>
          <w:sz w:val="28"/>
          <w:szCs w:val="36"/>
        </w:rPr>
      </w:pPr>
    </w:p>
    <w:p w:rsidR="00487D10" w:rsidRDefault="00BC392E">
      <w:pPr>
        <w:ind w:firstLineChars="200" w:firstLine="440"/>
        <w:rPr>
          <w:rFonts w:ascii="仿宋" w:eastAsia="仿宋" w:hAnsi="仿宋" w:cs="仿宋"/>
          <w:sz w:val="22"/>
          <w:szCs w:val="28"/>
        </w:rPr>
      </w:pPr>
      <w:r>
        <w:rPr>
          <w:rFonts w:ascii="仿宋" w:eastAsia="仿宋" w:hAnsi="仿宋" w:cs="仿宋" w:hint="eastAsia"/>
          <w:sz w:val="22"/>
          <w:szCs w:val="28"/>
        </w:rPr>
        <w:t xml:space="preserve"> </w:t>
      </w:r>
      <w:r>
        <w:rPr>
          <w:rFonts w:ascii="仿宋" w:eastAsia="仿宋" w:hAnsi="仿宋" w:cs="仿宋"/>
          <w:sz w:val="22"/>
          <w:szCs w:val="28"/>
        </w:rPr>
        <w:t xml:space="preserve">                           </w:t>
      </w:r>
      <w:r>
        <w:rPr>
          <w:rFonts w:ascii="仿宋" w:eastAsia="仿宋" w:hAnsi="仿宋" w:cs="仿宋" w:hint="eastAsia"/>
          <w:sz w:val="22"/>
          <w:szCs w:val="28"/>
        </w:rPr>
        <w:t>供稿：国际关系学院</w:t>
      </w:r>
    </w:p>
    <w:p w:rsidR="00BC392E" w:rsidRDefault="00BC392E">
      <w:pPr>
        <w:ind w:firstLineChars="200" w:firstLine="440"/>
        <w:rPr>
          <w:rFonts w:ascii="仿宋" w:eastAsia="仿宋" w:hAnsi="仿宋" w:cs="仿宋"/>
          <w:sz w:val="22"/>
          <w:szCs w:val="28"/>
        </w:rPr>
      </w:pPr>
    </w:p>
    <w:p w:rsidR="00487D10" w:rsidRDefault="009C495A">
      <w:pPr>
        <w:ind w:firstLineChars="200" w:firstLine="440"/>
        <w:rPr>
          <w:rFonts w:ascii="仿宋" w:eastAsia="仿宋" w:hAnsi="仿宋" w:cs="仿宋"/>
          <w:sz w:val="22"/>
          <w:szCs w:val="28"/>
        </w:rPr>
      </w:pPr>
      <w:r>
        <w:rPr>
          <w:rFonts w:ascii="仿宋" w:eastAsia="仿宋" w:hAnsi="仿宋" w:cs="仿宋" w:hint="eastAsia"/>
          <w:sz w:val="22"/>
          <w:szCs w:val="28"/>
        </w:rPr>
        <w:t>2023年12月11日，由南京大学、云南大学与江苏省社会科学院共</w:t>
      </w:r>
      <w:r w:rsidR="009C5C03">
        <w:rPr>
          <w:rFonts w:ascii="仿宋" w:eastAsia="仿宋" w:hAnsi="仿宋" w:cs="仿宋" w:hint="eastAsia"/>
          <w:sz w:val="22"/>
          <w:szCs w:val="28"/>
        </w:rPr>
        <w:t>同主办，南京大学中国</w:t>
      </w:r>
      <w:proofErr w:type="gramStart"/>
      <w:r w:rsidR="009C5C03">
        <w:rPr>
          <w:rFonts w:ascii="仿宋" w:eastAsia="仿宋" w:hAnsi="仿宋" w:cs="仿宋" w:hint="eastAsia"/>
          <w:sz w:val="22"/>
          <w:szCs w:val="28"/>
        </w:rPr>
        <w:t>智库研究</w:t>
      </w:r>
      <w:proofErr w:type="gramEnd"/>
      <w:r w:rsidR="009C5C03">
        <w:rPr>
          <w:rFonts w:ascii="仿宋" w:eastAsia="仿宋" w:hAnsi="仿宋" w:cs="仿宋" w:hint="eastAsia"/>
          <w:sz w:val="22"/>
          <w:szCs w:val="28"/>
        </w:rPr>
        <w:t>与评价中心和云南大学国际关系研究院、</w:t>
      </w:r>
      <w:r>
        <w:rPr>
          <w:rFonts w:ascii="仿宋" w:eastAsia="仿宋" w:hAnsi="仿宋" w:cs="仿宋" w:hint="eastAsia"/>
          <w:sz w:val="22"/>
          <w:szCs w:val="28"/>
        </w:rPr>
        <w:t>区域国别研究院共同承办的</w:t>
      </w:r>
      <w:r w:rsidRPr="009C5C03">
        <w:rPr>
          <w:rFonts w:ascii="仿宋" w:eastAsia="仿宋" w:hAnsi="仿宋" w:cs="仿宋" w:hint="eastAsia"/>
          <w:bCs/>
          <w:sz w:val="22"/>
          <w:szCs w:val="28"/>
        </w:rPr>
        <w:t>“2023新型智库治理论坛”</w:t>
      </w:r>
      <w:r>
        <w:rPr>
          <w:rFonts w:ascii="仿宋" w:eastAsia="仿宋" w:hAnsi="仿宋" w:cs="仿宋" w:hint="eastAsia"/>
          <w:sz w:val="22"/>
          <w:szCs w:val="28"/>
        </w:rPr>
        <w:t>在昆明顺利举行。论坛发布了</w:t>
      </w:r>
      <w:proofErr w:type="gramStart"/>
      <w:r>
        <w:rPr>
          <w:rFonts w:ascii="仿宋" w:eastAsia="仿宋" w:hAnsi="仿宋" w:cs="仿宋" w:hint="eastAsia"/>
          <w:sz w:val="22"/>
          <w:szCs w:val="28"/>
        </w:rPr>
        <w:t>中国智库索引</w:t>
      </w:r>
      <w:proofErr w:type="gramEnd"/>
      <w:r>
        <w:rPr>
          <w:rFonts w:ascii="仿宋" w:eastAsia="仿宋" w:hAnsi="仿宋" w:cs="仿宋" w:hint="eastAsia"/>
          <w:sz w:val="22"/>
          <w:szCs w:val="28"/>
        </w:rPr>
        <w:t>（Chinese Think Tanks Index，以下简称CTTI）</w:t>
      </w:r>
      <w:proofErr w:type="gramStart"/>
      <w:r>
        <w:rPr>
          <w:rFonts w:ascii="仿宋" w:eastAsia="仿宋" w:hAnsi="仿宋" w:cs="仿宋" w:hint="eastAsia"/>
          <w:sz w:val="22"/>
          <w:szCs w:val="28"/>
        </w:rPr>
        <w:t>2023年度智库建设</w:t>
      </w:r>
      <w:proofErr w:type="gramEnd"/>
      <w:r>
        <w:rPr>
          <w:rFonts w:ascii="仿宋" w:eastAsia="仿宋" w:hAnsi="仿宋" w:cs="仿宋" w:hint="eastAsia"/>
          <w:sz w:val="22"/>
          <w:szCs w:val="28"/>
        </w:rPr>
        <w:t>最佳案例和CTTI2023年度</w:t>
      </w:r>
      <w:proofErr w:type="gramStart"/>
      <w:r>
        <w:rPr>
          <w:rFonts w:ascii="仿宋" w:eastAsia="仿宋" w:hAnsi="仿宋" w:cs="仿宋" w:hint="eastAsia"/>
          <w:sz w:val="22"/>
          <w:szCs w:val="28"/>
        </w:rPr>
        <w:t>智库研究</w:t>
      </w:r>
      <w:proofErr w:type="gramEnd"/>
      <w:r>
        <w:rPr>
          <w:rFonts w:ascii="仿宋" w:eastAsia="仿宋" w:hAnsi="仿宋" w:cs="仿宋" w:hint="eastAsia"/>
          <w:sz w:val="22"/>
          <w:szCs w:val="28"/>
        </w:rPr>
        <w:t>优秀成果。</w:t>
      </w:r>
    </w:p>
    <w:p w:rsidR="00487D10" w:rsidRPr="009C5C03" w:rsidRDefault="00487D10">
      <w:pPr>
        <w:ind w:firstLineChars="200" w:firstLine="440"/>
        <w:rPr>
          <w:rFonts w:ascii="仿宋" w:eastAsia="仿宋" w:hAnsi="仿宋" w:cs="仿宋"/>
          <w:sz w:val="22"/>
          <w:szCs w:val="28"/>
        </w:rPr>
      </w:pPr>
    </w:p>
    <w:p w:rsidR="00487D10" w:rsidRPr="00956039" w:rsidRDefault="009C495A">
      <w:pPr>
        <w:ind w:firstLineChars="200" w:firstLine="440"/>
        <w:rPr>
          <w:rFonts w:ascii="仿宋" w:eastAsia="仿宋" w:hAnsi="仿宋" w:cs="仿宋"/>
          <w:sz w:val="22"/>
          <w:szCs w:val="28"/>
        </w:rPr>
      </w:pPr>
      <w:r>
        <w:rPr>
          <w:rFonts w:ascii="仿宋" w:eastAsia="仿宋" w:hAnsi="仿宋" w:cs="仿宋" w:hint="eastAsia"/>
          <w:sz w:val="22"/>
          <w:szCs w:val="28"/>
        </w:rPr>
        <w:t>北京大学中外人文交流研究基地（以下简称基地）申报的</w:t>
      </w:r>
      <w:r w:rsidRPr="00956039">
        <w:rPr>
          <w:rFonts w:ascii="仿宋" w:eastAsia="仿宋" w:hAnsi="仿宋" w:cs="仿宋" w:hint="eastAsia"/>
          <w:bCs/>
          <w:sz w:val="22"/>
          <w:szCs w:val="28"/>
        </w:rPr>
        <w:t>《铭记共同抗战岁月，传承中美人民友谊——史迪威将军诞辰140周年纪念活动》荣获CTTI2023年度</w:t>
      </w:r>
      <w:proofErr w:type="gramStart"/>
      <w:r w:rsidRPr="00956039">
        <w:rPr>
          <w:rFonts w:ascii="仿宋" w:eastAsia="仿宋" w:hAnsi="仿宋" w:cs="仿宋" w:hint="eastAsia"/>
          <w:bCs/>
          <w:sz w:val="22"/>
          <w:szCs w:val="28"/>
        </w:rPr>
        <w:t>智库最佳</w:t>
      </w:r>
      <w:proofErr w:type="gramEnd"/>
      <w:r w:rsidRPr="00956039">
        <w:rPr>
          <w:rFonts w:ascii="仿宋" w:eastAsia="仿宋" w:hAnsi="仿宋" w:cs="仿宋" w:hint="eastAsia"/>
          <w:bCs/>
          <w:sz w:val="22"/>
          <w:szCs w:val="28"/>
        </w:rPr>
        <w:t>案例“标杆案例”奖</w:t>
      </w:r>
      <w:r w:rsidRPr="00956039">
        <w:rPr>
          <w:rFonts w:ascii="仿宋" w:eastAsia="仿宋" w:hAnsi="仿宋" w:cs="仿宋" w:hint="eastAsia"/>
          <w:sz w:val="22"/>
          <w:szCs w:val="28"/>
        </w:rPr>
        <w:t>；</w:t>
      </w:r>
      <w:r w:rsidRPr="00956039">
        <w:rPr>
          <w:rFonts w:ascii="仿宋" w:eastAsia="仿宋" w:hAnsi="仿宋" w:cs="仿宋" w:hint="eastAsia"/>
          <w:bCs/>
          <w:sz w:val="22"/>
          <w:szCs w:val="28"/>
        </w:rPr>
        <w:t>《2023亚洲智慧城市排名》和《2023二十国集团智慧城市排名》荣获CTTI2023年度</w:t>
      </w:r>
      <w:proofErr w:type="gramStart"/>
      <w:r w:rsidRPr="00956039">
        <w:rPr>
          <w:rFonts w:ascii="仿宋" w:eastAsia="仿宋" w:hAnsi="仿宋" w:cs="仿宋" w:hint="eastAsia"/>
          <w:bCs/>
          <w:sz w:val="22"/>
          <w:szCs w:val="28"/>
        </w:rPr>
        <w:t>智库优秀</w:t>
      </w:r>
      <w:proofErr w:type="gramEnd"/>
      <w:r w:rsidRPr="00956039">
        <w:rPr>
          <w:rFonts w:ascii="仿宋" w:eastAsia="仿宋" w:hAnsi="仿宋" w:cs="仿宋" w:hint="eastAsia"/>
          <w:bCs/>
          <w:sz w:val="22"/>
          <w:szCs w:val="28"/>
        </w:rPr>
        <w:t>成果特等奖</w:t>
      </w:r>
      <w:r w:rsidRPr="00956039">
        <w:rPr>
          <w:rFonts w:ascii="仿宋" w:eastAsia="仿宋" w:hAnsi="仿宋" w:cs="仿宋" w:hint="eastAsia"/>
          <w:sz w:val="22"/>
          <w:szCs w:val="28"/>
        </w:rPr>
        <w:t>。</w:t>
      </w:r>
    </w:p>
    <w:p w:rsidR="00487D10" w:rsidRDefault="00487D10">
      <w:pPr>
        <w:ind w:firstLineChars="200" w:firstLine="440"/>
        <w:rPr>
          <w:rFonts w:ascii="仿宋" w:eastAsia="仿宋" w:hAnsi="仿宋" w:cs="仿宋"/>
          <w:sz w:val="22"/>
          <w:szCs w:val="28"/>
        </w:rPr>
      </w:pPr>
    </w:p>
    <w:p w:rsidR="00487D10" w:rsidRDefault="009C495A">
      <w:pPr>
        <w:ind w:firstLineChars="200" w:firstLine="440"/>
        <w:rPr>
          <w:rFonts w:ascii="仿宋" w:eastAsia="仿宋" w:hAnsi="仿宋" w:cs="仿宋"/>
          <w:sz w:val="22"/>
          <w:szCs w:val="28"/>
        </w:rPr>
      </w:pPr>
      <w:r>
        <w:rPr>
          <w:rFonts w:ascii="仿宋" w:eastAsia="仿宋" w:hAnsi="仿宋" w:cs="仿宋" w:hint="eastAsia"/>
          <w:sz w:val="22"/>
          <w:szCs w:val="28"/>
        </w:rPr>
        <w:t>自2017年开始，CTTI已连续多年发布</w:t>
      </w:r>
      <w:proofErr w:type="gramStart"/>
      <w:r>
        <w:rPr>
          <w:rFonts w:ascii="仿宋" w:eastAsia="仿宋" w:hAnsi="仿宋" w:cs="仿宋" w:hint="eastAsia"/>
          <w:sz w:val="22"/>
          <w:szCs w:val="28"/>
        </w:rPr>
        <w:t>年度智库建设</w:t>
      </w:r>
      <w:proofErr w:type="gramEnd"/>
      <w:r>
        <w:rPr>
          <w:rFonts w:ascii="仿宋" w:eastAsia="仿宋" w:hAnsi="仿宋" w:cs="仿宋" w:hint="eastAsia"/>
          <w:sz w:val="22"/>
          <w:szCs w:val="28"/>
        </w:rPr>
        <w:t>最佳案例和智库优秀成果，全方位展示中国特色新型智库建设现状与发展情况，</w:t>
      </w:r>
      <w:r w:rsidR="00370C3A">
        <w:rPr>
          <w:rFonts w:ascii="仿宋" w:eastAsia="仿宋" w:hAnsi="仿宋" w:cs="仿宋" w:hint="eastAsia"/>
          <w:sz w:val="22"/>
          <w:szCs w:val="28"/>
        </w:rPr>
        <w:t>产生了</w:t>
      </w:r>
      <w:r>
        <w:rPr>
          <w:rFonts w:ascii="仿宋" w:eastAsia="仿宋" w:hAnsi="仿宋" w:cs="仿宋" w:hint="eastAsia"/>
          <w:sz w:val="22"/>
          <w:szCs w:val="28"/>
        </w:rPr>
        <w:t>广泛的社会影响力和专业影响力。2023年度智库建设最佳案例</w:t>
      </w:r>
      <w:r w:rsidR="00956039">
        <w:rPr>
          <w:rFonts w:ascii="仿宋" w:eastAsia="仿宋" w:hAnsi="仿宋" w:cs="仿宋" w:hint="eastAsia"/>
          <w:sz w:val="22"/>
          <w:szCs w:val="28"/>
        </w:rPr>
        <w:t>标杆案例从</w:t>
      </w:r>
      <w:r>
        <w:rPr>
          <w:rFonts w:ascii="仿宋" w:eastAsia="仿宋" w:hAnsi="仿宋" w:cs="仿宋" w:hint="eastAsia"/>
          <w:sz w:val="22"/>
          <w:szCs w:val="28"/>
        </w:rPr>
        <w:t>来自227家</w:t>
      </w:r>
      <w:r w:rsidR="00956039">
        <w:rPr>
          <w:rFonts w:ascii="仿宋" w:eastAsia="仿宋" w:hAnsi="仿宋" w:cs="仿宋" w:hint="eastAsia"/>
          <w:sz w:val="22"/>
          <w:szCs w:val="28"/>
        </w:rPr>
        <w:t>智库</w:t>
      </w:r>
      <w:r>
        <w:rPr>
          <w:rFonts w:ascii="仿宋" w:eastAsia="仿宋" w:hAnsi="仿宋" w:cs="仿宋" w:hint="eastAsia"/>
          <w:sz w:val="22"/>
          <w:szCs w:val="28"/>
        </w:rPr>
        <w:t>机构</w:t>
      </w:r>
      <w:r w:rsidR="00956039">
        <w:rPr>
          <w:rFonts w:ascii="仿宋" w:eastAsia="仿宋" w:hAnsi="仿宋" w:cs="仿宋" w:hint="eastAsia"/>
          <w:sz w:val="22"/>
          <w:szCs w:val="28"/>
        </w:rPr>
        <w:t>申报的</w:t>
      </w:r>
      <w:r>
        <w:rPr>
          <w:rFonts w:ascii="仿宋" w:eastAsia="仿宋" w:hAnsi="仿宋" w:cs="仿宋" w:hint="eastAsia"/>
          <w:sz w:val="22"/>
          <w:szCs w:val="28"/>
        </w:rPr>
        <w:t>建设案例评审</w:t>
      </w:r>
      <w:r w:rsidR="00956039">
        <w:rPr>
          <w:rFonts w:ascii="仿宋" w:eastAsia="仿宋" w:hAnsi="仿宋" w:cs="仿宋" w:hint="eastAsia"/>
          <w:sz w:val="22"/>
          <w:szCs w:val="28"/>
        </w:rPr>
        <w:t>产生；</w:t>
      </w:r>
      <w:r>
        <w:rPr>
          <w:rFonts w:ascii="仿宋" w:eastAsia="仿宋" w:hAnsi="仿宋" w:cs="仿宋" w:hint="eastAsia"/>
          <w:sz w:val="22"/>
          <w:szCs w:val="28"/>
        </w:rPr>
        <w:t>2023年度智库研究优秀成果</w:t>
      </w:r>
      <w:r w:rsidR="009C5C03">
        <w:rPr>
          <w:rFonts w:ascii="仿宋" w:eastAsia="仿宋" w:hAnsi="仿宋" w:cs="仿宋" w:hint="eastAsia"/>
          <w:sz w:val="22"/>
          <w:szCs w:val="28"/>
        </w:rPr>
        <w:t>特等奖</w:t>
      </w:r>
      <w:r w:rsidR="00370C3A">
        <w:rPr>
          <w:rFonts w:ascii="仿宋" w:eastAsia="仿宋" w:hAnsi="仿宋" w:cs="仿宋" w:hint="eastAsia"/>
          <w:sz w:val="22"/>
          <w:szCs w:val="28"/>
        </w:rPr>
        <w:t>则从</w:t>
      </w:r>
      <w:r>
        <w:rPr>
          <w:rFonts w:ascii="仿宋" w:eastAsia="仿宋" w:hAnsi="仿宋" w:cs="仿宋" w:hint="eastAsia"/>
          <w:sz w:val="22"/>
          <w:szCs w:val="28"/>
        </w:rPr>
        <w:t>来自542家</w:t>
      </w:r>
      <w:r w:rsidR="00956039">
        <w:rPr>
          <w:rFonts w:ascii="仿宋" w:eastAsia="仿宋" w:hAnsi="仿宋" w:cs="仿宋" w:hint="eastAsia"/>
          <w:sz w:val="22"/>
          <w:szCs w:val="28"/>
        </w:rPr>
        <w:t>智库</w:t>
      </w:r>
      <w:r>
        <w:rPr>
          <w:rFonts w:ascii="仿宋" w:eastAsia="仿宋" w:hAnsi="仿宋" w:cs="仿宋" w:hint="eastAsia"/>
          <w:sz w:val="22"/>
          <w:szCs w:val="28"/>
        </w:rPr>
        <w:t>机构</w:t>
      </w:r>
      <w:r w:rsidR="009C5C03">
        <w:rPr>
          <w:rFonts w:ascii="仿宋" w:eastAsia="仿宋" w:hAnsi="仿宋" w:cs="仿宋" w:hint="eastAsia"/>
          <w:sz w:val="22"/>
          <w:szCs w:val="28"/>
        </w:rPr>
        <w:t>申报</w:t>
      </w:r>
      <w:r>
        <w:rPr>
          <w:rFonts w:ascii="仿宋" w:eastAsia="仿宋" w:hAnsi="仿宋" w:cs="仿宋" w:hint="eastAsia"/>
          <w:sz w:val="22"/>
          <w:szCs w:val="28"/>
        </w:rPr>
        <w:t>的</w:t>
      </w:r>
      <w:r w:rsidR="00956039">
        <w:rPr>
          <w:rFonts w:ascii="仿宋" w:eastAsia="仿宋" w:hAnsi="仿宋" w:cs="仿宋" w:hint="eastAsia"/>
          <w:sz w:val="22"/>
          <w:szCs w:val="28"/>
        </w:rPr>
        <w:t>智库成果</w:t>
      </w:r>
      <w:r w:rsidR="009C5C03">
        <w:rPr>
          <w:rFonts w:ascii="仿宋" w:eastAsia="仿宋" w:hAnsi="仿宋" w:cs="仿宋" w:hint="eastAsia"/>
          <w:sz w:val="22"/>
          <w:szCs w:val="28"/>
        </w:rPr>
        <w:t>中</w:t>
      </w:r>
      <w:r>
        <w:rPr>
          <w:rFonts w:ascii="仿宋" w:eastAsia="仿宋" w:hAnsi="仿宋" w:cs="仿宋" w:hint="eastAsia"/>
          <w:sz w:val="22"/>
          <w:szCs w:val="28"/>
        </w:rPr>
        <w:t>评审</w:t>
      </w:r>
      <w:r w:rsidR="00956039">
        <w:rPr>
          <w:rFonts w:ascii="仿宋" w:eastAsia="仿宋" w:hAnsi="仿宋" w:cs="仿宋" w:hint="eastAsia"/>
          <w:sz w:val="22"/>
          <w:szCs w:val="28"/>
        </w:rPr>
        <w:t>产生</w:t>
      </w:r>
      <w:r>
        <w:rPr>
          <w:rFonts w:ascii="仿宋" w:eastAsia="仿宋" w:hAnsi="仿宋" w:cs="仿宋" w:hint="eastAsia"/>
          <w:sz w:val="22"/>
          <w:szCs w:val="28"/>
        </w:rPr>
        <w:t>。</w:t>
      </w:r>
    </w:p>
    <w:p w:rsidR="00487D10" w:rsidRDefault="00487D10">
      <w:pPr>
        <w:rPr>
          <w:rFonts w:ascii="仿宋" w:eastAsia="仿宋" w:hAnsi="仿宋" w:cs="仿宋"/>
          <w:sz w:val="22"/>
          <w:szCs w:val="28"/>
        </w:rPr>
      </w:pPr>
    </w:p>
    <w:p w:rsidR="00487D10" w:rsidRDefault="009C495A">
      <w:pPr>
        <w:jc w:val="center"/>
        <w:rPr>
          <w:rFonts w:ascii="仿宋" w:eastAsia="仿宋" w:hAnsi="仿宋" w:cs="仿宋"/>
          <w:sz w:val="22"/>
          <w:szCs w:val="28"/>
        </w:rPr>
      </w:pPr>
      <w:r>
        <w:rPr>
          <w:rFonts w:ascii="仿宋" w:eastAsia="仿宋" w:hAnsi="仿宋" w:cs="仿宋" w:hint="eastAsia"/>
          <w:noProof/>
          <w:sz w:val="22"/>
          <w:szCs w:val="28"/>
        </w:rPr>
        <w:drawing>
          <wp:inline distT="0" distB="0" distL="114300" distR="114300">
            <wp:extent cx="3698240" cy="2432050"/>
            <wp:effectExtent l="0" t="0" r="16510" b="6350"/>
            <wp:docPr id="3" name="图片 3" descr="IMG_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IMG_1367"/>
                    <pic:cNvPicPr>
                      <a:picLocks noChangeAspect="1"/>
                    </pic:cNvPicPr>
                  </pic:nvPicPr>
                  <pic:blipFill>
                    <a:blip r:embed="rId6"/>
                    <a:srcRect l="19122" t="15298" r="10168" b="14952"/>
                    <a:stretch>
                      <a:fillRect/>
                    </a:stretch>
                  </pic:blipFill>
                  <pic:spPr>
                    <a:xfrm>
                      <a:off x="0" y="0"/>
                      <a:ext cx="3698383" cy="2432050"/>
                    </a:xfrm>
                    <a:prstGeom prst="rect">
                      <a:avLst/>
                    </a:prstGeom>
                  </pic:spPr>
                </pic:pic>
              </a:graphicData>
            </a:graphic>
          </wp:inline>
        </w:drawing>
      </w:r>
    </w:p>
    <w:p w:rsidR="00487D10" w:rsidRDefault="009C495A">
      <w:pPr>
        <w:jc w:val="center"/>
        <w:rPr>
          <w:rFonts w:ascii="仿宋" w:eastAsia="仿宋" w:hAnsi="仿宋" w:cs="仿宋"/>
          <w:sz w:val="22"/>
          <w:szCs w:val="28"/>
        </w:rPr>
      </w:pPr>
      <w:r>
        <w:rPr>
          <w:rFonts w:ascii="仿宋" w:eastAsia="仿宋" w:hAnsi="仿宋" w:cs="仿宋" w:hint="eastAsia"/>
          <w:color w:val="000000" w:themeColor="text1"/>
        </w:rPr>
        <w:t>《铭记共同抗战岁月，传承中美人民友谊——史迪威将军诞辰140周年纪念活动》荣获CTTI 2023年度智库最佳案例“标杆案例”奖</w:t>
      </w:r>
    </w:p>
    <w:p w:rsidR="00487D10" w:rsidRDefault="00487D10">
      <w:pPr>
        <w:rPr>
          <w:rFonts w:ascii="仿宋" w:eastAsia="仿宋" w:hAnsi="仿宋" w:cs="仿宋"/>
          <w:sz w:val="22"/>
          <w:szCs w:val="28"/>
        </w:rPr>
      </w:pPr>
    </w:p>
    <w:p w:rsidR="00487D10" w:rsidRDefault="009C495A">
      <w:pPr>
        <w:jc w:val="center"/>
        <w:rPr>
          <w:rFonts w:ascii="仿宋" w:eastAsia="仿宋" w:hAnsi="仿宋" w:cs="仿宋"/>
          <w:sz w:val="22"/>
          <w:szCs w:val="28"/>
        </w:rPr>
      </w:pPr>
      <w:r>
        <w:rPr>
          <w:rFonts w:ascii="仿宋" w:eastAsia="仿宋" w:hAnsi="仿宋" w:cs="仿宋" w:hint="eastAsia"/>
          <w:noProof/>
          <w:sz w:val="22"/>
          <w:szCs w:val="28"/>
        </w:rPr>
        <w:lastRenderedPageBreak/>
        <w:drawing>
          <wp:inline distT="0" distB="0" distL="114300" distR="114300">
            <wp:extent cx="3895090" cy="2585720"/>
            <wp:effectExtent l="0" t="0" r="10160" b="5080"/>
            <wp:docPr id="4" name="图片 4" descr="IMG_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IMG_1404"/>
                    <pic:cNvPicPr>
                      <a:picLocks noChangeAspect="1"/>
                    </pic:cNvPicPr>
                  </pic:nvPicPr>
                  <pic:blipFill>
                    <a:blip r:embed="rId7"/>
                    <a:srcRect l="18028" t="273" r="7506" b="25569"/>
                    <a:stretch>
                      <a:fillRect/>
                    </a:stretch>
                  </pic:blipFill>
                  <pic:spPr>
                    <a:xfrm>
                      <a:off x="0" y="0"/>
                      <a:ext cx="3894832" cy="2585720"/>
                    </a:xfrm>
                    <a:prstGeom prst="rect">
                      <a:avLst/>
                    </a:prstGeom>
                  </pic:spPr>
                </pic:pic>
              </a:graphicData>
            </a:graphic>
          </wp:inline>
        </w:drawing>
      </w:r>
    </w:p>
    <w:p w:rsidR="00487D10" w:rsidRDefault="009C495A">
      <w:pPr>
        <w:jc w:val="center"/>
        <w:rPr>
          <w:rFonts w:ascii="仿宋" w:eastAsia="仿宋" w:hAnsi="仿宋" w:cs="仿宋"/>
          <w:sz w:val="22"/>
          <w:szCs w:val="28"/>
        </w:rPr>
      </w:pPr>
      <w:r>
        <w:rPr>
          <w:rFonts w:ascii="仿宋" w:eastAsia="仿宋" w:hAnsi="仿宋" w:cs="仿宋" w:hint="eastAsia"/>
          <w:color w:val="000000" w:themeColor="text1"/>
        </w:rPr>
        <w:t>《2023亚洲智慧城市排名》和《2023二十国集团智慧城市排名》荣获CTTI 2023年度智库优秀成果特等奖</w:t>
      </w:r>
    </w:p>
    <w:p w:rsidR="00487D10" w:rsidRDefault="00487D10">
      <w:pPr>
        <w:rPr>
          <w:rFonts w:ascii="仿宋" w:eastAsia="仿宋" w:hAnsi="仿宋" w:cs="仿宋"/>
          <w:sz w:val="22"/>
          <w:szCs w:val="28"/>
        </w:rPr>
      </w:pPr>
    </w:p>
    <w:p w:rsidR="00487D10" w:rsidRDefault="009C495A">
      <w:pPr>
        <w:ind w:firstLineChars="200" w:firstLine="442"/>
        <w:rPr>
          <w:rFonts w:ascii="仿宋" w:eastAsia="仿宋" w:hAnsi="仿宋" w:cs="仿宋" w:hint="eastAsia"/>
          <w:sz w:val="22"/>
          <w:szCs w:val="28"/>
        </w:rPr>
      </w:pPr>
      <w:r>
        <w:rPr>
          <w:rFonts w:ascii="仿宋" w:eastAsia="仿宋" w:hAnsi="仿宋" w:cs="仿宋" w:hint="eastAsia"/>
          <w:b/>
          <w:bCs/>
          <w:sz w:val="22"/>
          <w:szCs w:val="28"/>
        </w:rPr>
        <w:t>《铭记共同抗战岁月，传承中美人民友谊——史迪威将军诞辰140周年纪念活动》</w:t>
      </w:r>
      <w:r w:rsidR="009C5C03">
        <w:rPr>
          <w:rFonts w:ascii="仿宋" w:eastAsia="仿宋" w:hAnsi="仿宋" w:cs="仿宋" w:hint="eastAsia"/>
          <w:sz w:val="22"/>
          <w:szCs w:val="28"/>
        </w:rPr>
        <w:t>于2</w:t>
      </w:r>
      <w:r w:rsidR="009C5C03">
        <w:rPr>
          <w:rFonts w:ascii="仿宋" w:eastAsia="仿宋" w:hAnsi="仿宋" w:cs="仿宋"/>
          <w:sz w:val="22"/>
          <w:szCs w:val="28"/>
        </w:rPr>
        <w:t>023</w:t>
      </w:r>
      <w:r>
        <w:rPr>
          <w:rFonts w:ascii="仿宋" w:eastAsia="仿宋" w:hAnsi="仿宋" w:cs="仿宋" w:hint="eastAsia"/>
          <w:sz w:val="22"/>
          <w:szCs w:val="28"/>
        </w:rPr>
        <w:t>年8月在重庆举行，由史迪威研究中心主办，北京大学中外人文交流研究基地协办，中外嘉宾出</w:t>
      </w:r>
      <w:r w:rsidR="009C5C03">
        <w:rPr>
          <w:rFonts w:ascii="仿宋" w:eastAsia="仿宋" w:hAnsi="仿宋" w:cs="仿宋" w:hint="eastAsia"/>
          <w:sz w:val="22"/>
          <w:szCs w:val="28"/>
        </w:rPr>
        <w:t>席并围绕史迪威将军生平事迹、中美民间交流合作等问题</w:t>
      </w:r>
      <w:r>
        <w:rPr>
          <w:rFonts w:ascii="仿宋" w:eastAsia="仿宋" w:hAnsi="仿宋" w:cs="仿宋" w:hint="eastAsia"/>
          <w:sz w:val="22"/>
          <w:szCs w:val="28"/>
        </w:rPr>
        <w:t>进行了</w:t>
      </w:r>
      <w:r w:rsidR="009C5C03">
        <w:rPr>
          <w:rFonts w:ascii="仿宋" w:eastAsia="仿宋" w:hAnsi="仿宋" w:cs="仿宋" w:hint="eastAsia"/>
          <w:sz w:val="22"/>
          <w:szCs w:val="28"/>
        </w:rPr>
        <w:t>深入</w:t>
      </w:r>
      <w:r w:rsidR="00D978F2">
        <w:rPr>
          <w:rFonts w:ascii="仿宋" w:eastAsia="仿宋" w:hAnsi="仿宋" w:cs="仿宋" w:hint="eastAsia"/>
          <w:sz w:val="22"/>
          <w:szCs w:val="28"/>
        </w:rPr>
        <w:t>交流。该活动旨在通过民间交流</w:t>
      </w:r>
      <w:r>
        <w:rPr>
          <w:rFonts w:ascii="仿宋" w:eastAsia="仿宋" w:hAnsi="仿宋" w:cs="仿宋" w:hint="eastAsia"/>
          <w:sz w:val="22"/>
          <w:szCs w:val="28"/>
        </w:rPr>
        <w:t>促进相互理解、交流合作，厚植中美关系的</w:t>
      </w:r>
      <w:r w:rsidR="00C43EEC">
        <w:rPr>
          <w:rFonts w:ascii="仿宋" w:eastAsia="仿宋" w:hAnsi="仿宋" w:cs="仿宋" w:hint="eastAsia"/>
          <w:sz w:val="22"/>
          <w:szCs w:val="28"/>
        </w:rPr>
        <w:t>社会</w:t>
      </w:r>
      <w:r>
        <w:rPr>
          <w:rFonts w:ascii="仿宋" w:eastAsia="仿宋" w:hAnsi="仿宋" w:cs="仿宋" w:hint="eastAsia"/>
          <w:sz w:val="22"/>
          <w:szCs w:val="28"/>
        </w:rPr>
        <w:t>根基。</w:t>
      </w:r>
      <w:r w:rsidR="00C43EEC">
        <w:rPr>
          <w:rFonts w:ascii="仿宋" w:eastAsia="仿宋" w:hAnsi="仿宋" w:cs="仿宋" w:hint="eastAsia"/>
          <w:sz w:val="22"/>
          <w:szCs w:val="28"/>
        </w:rPr>
        <w:t>本次纪念活动作为</w:t>
      </w:r>
      <w:r w:rsidR="009C5C03">
        <w:rPr>
          <w:rFonts w:ascii="仿宋" w:eastAsia="仿宋" w:hAnsi="仿宋" w:cs="仿宋" w:hint="eastAsia"/>
          <w:sz w:val="22"/>
          <w:szCs w:val="28"/>
        </w:rPr>
        <w:t>中国地方、民间、学界共同推动中美</w:t>
      </w:r>
      <w:proofErr w:type="gramStart"/>
      <w:r w:rsidR="009C5C03">
        <w:rPr>
          <w:rFonts w:ascii="仿宋" w:eastAsia="仿宋" w:hAnsi="仿宋" w:cs="仿宋" w:hint="eastAsia"/>
          <w:sz w:val="22"/>
          <w:szCs w:val="28"/>
        </w:rPr>
        <w:t>关系重</w:t>
      </w:r>
      <w:proofErr w:type="gramEnd"/>
      <w:r w:rsidR="009C5C03">
        <w:rPr>
          <w:rFonts w:ascii="仿宋" w:eastAsia="仿宋" w:hAnsi="仿宋" w:cs="仿宋" w:hint="eastAsia"/>
          <w:sz w:val="22"/>
          <w:szCs w:val="28"/>
        </w:rPr>
        <w:t>回正轨</w:t>
      </w:r>
      <w:r w:rsidR="00C43EEC">
        <w:rPr>
          <w:rFonts w:ascii="仿宋" w:eastAsia="仿宋" w:hAnsi="仿宋" w:cs="仿宋" w:hint="eastAsia"/>
          <w:sz w:val="22"/>
          <w:szCs w:val="28"/>
        </w:rPr>
        <w:t>的重要实践，得到了习近平总书记的关注与</w:t>
      </w:r>
      <w:r w:rsidR="00C52E30">
        <w:rPr>
          <w:rFonts w:ascii="仿宋" w:eastAsia="仿宋" w:hAnsi="仿宋" w:cs="仿宋" w:hint="eastAsia"/>
          <w:sz w:val="22"/>
          <w:szCs w:val="28"/>
        </w:rPr>
        <w:t>高度</w:t>
      </w:r>
      <w:r w:rsidR="00C43EEC">
        <w:rPr>
          <w:rFonts w:ascii="仿宋" w:eastAsia="仿宋" w:hAnsi="仿宋" w:cs="仿宋" w:hint="eastAsia"/>
          <w:sz w:val="22"/>
          <w:szCs w:val="28"/>
        </w:rPr>
        <w:t>肯定</w:t>
      </w:r>
      <w:r>
        <w:rPr>
          <w:rFonts w:ascii="仿宋" w:eastAsia="仿宋" w:hAnsi="仿宋" w:cs="仿宋" w:hint="eastAsia"/>
          <w:sz w:val="22"/>
          <w:szCs w:val="28"/>
        </w:rPr>
        <w:t>。</w:t>
      </w:r>
      <w:proofErr w:type="gramStart"/>
      <w:r w:rsidR="00262C17">
        <w:rPr>
          <w:rFonts w:ascii="仿宋" w:eastAsia="仿宋" w:hAnsi="仿宋" w:cs="仿宋" w:hint="eastAsia"/>
          <w:sz w:val="22"/>
          <w:szCs w:val="28"/>
        </w:rPr>
        <w:t>习主席</w:t>
      </w:r>
      <w:proofErr w:type="gramEnd"/>
      <w:r w:rsidR="00262C17">
        <w:rPr>
          <w:rFonts w:ascii="仿宋" w:eastAsia="仿宋" w:hAnsi="仿宋" w:cs="仿宋" w:hint="eastAsia"/>
          <w:sz w:val="22"/>
          <w:szCs w:val="28"/>
        </w:rPr>
        <w:t>在在复信史迪威将军外孙约翰·伊斯特布鲁克时，感谢了史迪威将军及史迪威家族几代人为促进中美两国友好交往做出的重要贡献，并对本次史迪威将军诞辰1</w:t>
      </w:r>
      <w:r w:rsidR="00262C17">
        <w:rPr>
          <w:rFonts w:ascii="仿宋" w:eastAsia="仿宋" w:hAnsi="仿宋" w:cs="仿宋"/>
          <w:sz w:val="22"/>
          <w:szCs w:val="28"/>
        </w:rPr>
        <w:t>40</w:t>
      </w:r>
      <w:r w:rsidR="00262C17">
        <w:rPr>
          <w:rFonts w:ascii="仿宋" w:eastAsia="仿宋" w:hAnsi="仿宋" w:cs="仿宋" w:hint="eastAsia"/>
          <w:sz w:val="22"/>
          <w:szCs w:val="28"/>
        </w:rPr>
        <w:t>周年纪念活动表示高度肯定。</w:t>
      </w:r>
    </w:p>
    <w:p w:rsidR="00487D10" w:rsidRDefault="00487D10">
      <w:pPr>
        <w:rPr>
          <w:rFonts w:ascii="仿宋" w:eastAsia="仿宋" w:hAnsi="仿宋" w:cs="仿宋"/>
          <w:sz w:val="22"/>
          <w:szCs w:val="28"/>
        </w:rPr>
      </w:pPr>
    </w:p>
    <w:p w:rsidR="00487D10" w:rsidRDefault="009C495A">
      <w:pPr>
        <w:ind w:firstLineChars="200" w:firstLine="440"/>
        <w:rPr>
          <w:rFonts w:ascii="仿宋" w:eastAsia="仿宋" w:hAnsi="仿宋" w:cs="仿宋"/>
          <w:sz w:val="22"/>
          <w:szCs w:val="28"/>
        </w:rPr>
      </w:pPr>
      <w:r w:rsidRPr="00BC392E">
        <w:rPr>
          <w:rFonts w:ascii="仿宋" w:eastAsia="仿宋" w:hAnsi="仿宋" w:cs="仿宋" w:hint="eastAsia"/>
          <w:bCs/>
          <w:sz w:val="22"/>
          <w:szCs w:val="28"/>
        </w:rPr>
        <w:t>《2023亚洲智慧城市排名》</w:t>
      </w:r>
      <w:r w:rsidRPr="00BC392E">
        <w:rPr>
          <w:rFonts w:ascii="仿宋" w:eastAsia="仿宋" w:hAnsi="仿宋" w:cs="仿宋" w:hint="eastAsia"/>
          <w:sz w:val="22"/>
          <w:szCs w:val="28"/>
        </w:rPr>
        <w:t>报告对全球243个城市展开评估，构建以区域融合为导向、多元基础设施协同的智慧城市评估体系，为亚洲提供智慧城市规划与建设的行动路径。</w:t>
      </w:r>
      <w:r w:rsidRPr="00BC392E">
        <w:rPr>
          <w:rFonts w:ascii="仿宋" w:eastAsia="仿宋" w:hAnsi="仿宋" w:cs="仿宋" w:hint="eastAsia"/>
          <w:bCs/>
          <w:sz w:val="22"/>
          <w:szCs w:val="28"/>
        </w:rPr>
        <w:t>《2023二十国集团智慧城市排名》</w:t>
      </w:r>
      <w:r>
        <w:rPr>
          <w:rFonts w:ascii="仿宋" w:eastAsia="仿宋" w:hAnsi="仿宋" w:cs="仿宋" w:hint="eastAsia"/>
          <w:sz w:val="22"/>
          <w:szCs w:val="28"/>
        </w:rPr>
        <w:t>对二十国集团成员</w:t>
      </w:r>
      <w:r w:rsidR="009C5C03">
        <w:rPr>
          <w:rFonts w:ascii="仿宋" w:eastAsia="仿宋" w:hAnsi="仿宋" w:cs="仿宋" w:hint="eastAsia"/>
          <w:sz w:val="22"/>
          <w:szCs w:val="28"/>
        </w:rPr>
        <w:t>智慧城市</w:t>
      </w:r>
      <w:r>
        <w:rPr>
          <w:rFonts w:ascii="仿宋" w:eastAsia="仿宋" w:hAnsi="仿宋" w:cs="仿宋" w:hint="eastAsia"/>
          <w:sz w:val="22"/>
          <w:szCs w:val="28"/>
        </w:rPr>
        <w:t>进行评价。</w:t>
      </w:r>
      <w:r w:rsidR="00BC392E">
        <w:rPr>
          <w:rFonts w:ascii="仿宋" w:eastAsia="仿宋" w:hAnsi="仿宋" w:cs="仿宋" w:hint="eastAsia"/>
          <w:sz w:val="22"/>
          <w:szCs w:val="28"/>
        </w:rPr>
        <w:t>两个排名的发布，得到了国际同行的高度评价和肯定</w:t>
      </w:r>
      <w:r w:rsidR="00C43EEC">
        <w:rPr>
          <w:rFonts w:ascii="仿宋" w:eastAsia="仿宋" w:hAnsi="仿宋" w:cs="仿宋" w:hint="eastAsia"/>
          <w:sz w:val="22"/>
          <w:szCs w:val="28"/>
        </w:rPr>
        <w:t>，</w:t>
      </w:r>
      <w:r w:rsidR="00BC392E">
        <w:rPr>
          <w:rFonts w:ascii="仿宋" w:eastAsia="仿宋" w:hAnsi="仿宋" w:cs="仿宋" w:hint="eastAsia"/>
          <w:sz w:val="22"/>
          <w:szCs w:val="28"/>
        </w:rPr>
        <w:t>打破了西方学界智库在全球智慧城市排名上的话语垄断</w:t>
      </w:r>
      <w:r w:rsidR="00C43EEC">
        <w:rPr>
          <w:rFonts w:ascii="仿宋" w:eastAsia="仿宋" w:hAnsi="仿宋" w:cs="仿宋" w:hint="eastAsia"/>
          <w:sz w:val="22"/>
          <w:szCs w:val="28"/>
        </w:rPr>
        <w:t>权</w:t>
      </w:r>
      <w:r w:rsidR="00BC392E">
        <w:rPr>
          <w:rFonts w:ascii="仿宋" w:eastAsia="仿宋" w:hAnsi="仿宋" w:cs="仿宋" w:hint="eastAsia"/>
          <w:sz w:val="22"/>
          <w:szCs w:val="28"/>
        </w:rPr>
        <w:t>，</w:t>
      </w:r>
      <w:r>
        <w:rPr>
          <w:rFonts w:ascii="仿宋" w:eastAsia="仿宋" w:hAnsi="仿宋" w:cs="仿宋" w:hint="eastAsia"/>
          <w:sz w:val="22"/>
          <w:szCs w:val="28"/>
        </w:rPr>
        <w:t>对于提升</w:t>
      </w:r>
      <w:r w:rsidR="00BC392E">
        <w:rPr>
          <w:rFonts w:ascii="仿宋" w:eastAsia="仿宋" w:hAnsi="仿宋" w:cs="仿宋" w:hint="eastAsia"/>
          <w:sz w:val="22"/>
          <w:szCs w:val="28"/>
        </w:rPr>
        <w:t>中国在智慧城市和</w:t>
      </w:r>
      <w:r>
        <w:rPr>
          <w:rFonts w:ascii="仿宋" w:eastAsia="仿宋" w:hAnsi="仿宋" w:cs="仿宋" w:hint="eastAsia"/>
          <w:sz w:val="22"/>
          <w:szCs w:val="28"/>
        </w:rPr>
        <w:t>全</w:t>
      </w:r>
      <w:r w:rsidR="00BC392E">
        <w:rPr>
          <w:rFonts w:ascii="仿宋" w:eastAsia="仿宋" w:hAnsi="仿宋" w:cs="仿宋" w:hint="eastAsia"/>
          <w:sz w:val="22"/>
          <w:szCs w:val="28"/>
        </w:rPr>
        <w:t>球治理领域的国际话语权，以及推进构建中国自主知识体系，具有积极</w:t>
      </w:r>
      <w:r>
        <w:rPr>
          <w:rFonts w:ascii="仿宋" w:eastAsia="仿宋" w:hAnsi="仿宋" w:cs="仿宋" w:hint="eastAsia"/>
          <w:sz w:val="22"/>
          <w:szCs w:val="28"/>
        </w:rPr>
        <w:t>的意义。</w:t>
      </w:r>
    </w:p>
    <w:p w:rsidR="00487D10" w:rsidRDefault="00487D10">
      <w:pPr>
        <w:rPr>
          <w:rFonts w:ascii="仿宋" w:eastAsia="仿宋" w:hAnsi="仿宋" w:cs="仿宋"/>
          <w:sz w:val="22"/>
          <w:szCs w:val="28"/>
        </w:rPr>
      </w:pPr>
    </w:p>
    <w:p w:rsidR="00487D10" w:rsidRDefault="009C495A">
      <w:pPr>
        <w:rPr>
          <w:rFonts w:ascii="仿宋" w:eastAsia="仿宋" w:hAnsi="仿宋" w:cs="仿宋"/>
          <w:sz w:val="22"/>
          <w:szCs w:val="28"/>
        </w:rPr>
      </w:pPr>
      <w:r>
        <w:rPr>
          <w:rFonts w:ascii="仿宋" w:eastAsia="仿宋" w:hAnsi="仿宋" w:cs="仿宋" w:hint="eastAsia"/>
          <w:noProof/>
          <w:sz w:val="22"/>
          <w:szCs w:val="28"/>
        </w:rPr>
        <w:drawing>
          <wp:inline distT="0" distB="0" distL="114300" distR="114300">
            <wp:extent cx="5255895" cy="2956560"/>
            <wp:effectExtent l="0" t="0" r="1905" b="15240"/>
            <wp:docPr id="6" name="图片 6" descr="微信图片_20231212124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微信图片_20231212124201"/>
                    <pic:cNvPicPr>
                      <a:picLocks noChangeAspect="1"/>
                    </pic:cNvPicPr>
                  </pic:nvPicPr>
                  <pic:blipFill>
                    <a:blip r:embed="rId8"/>
                    <a:stretch>
                      <a:fillRect/>
                    </a:stretch>
                  </pic:blipFill>
                  <pic:spPr>
                    <a:xfrm>
                      <a:off x="0" y="0"/>
                      <a:ext cx="5255895" cy="2956560"/>
                    </a:xfrm>
                    <a:prstGeom prst="rect">
                      <a:avLst/>
                    </a:prstGeom>
                  </pic:spPr>
                </pic:pic>
              </a:graphicData>
            </a:graphic>
          </wp:inline>
        </w:drawing>
      </w:r>
    </w:p>
    <w:p w:rsidR="00487D10" w:rsidRDefault="009C495A">
      <w:pPr>
        <w:jc w:val="center"/>
        <w:rPr>
          <w:rFonts w:ascii="仿宋" w:eastAsia="仿宋" w:hAnsi="仿宋" w:cs="仿宋"/>
          <w:sz w:val="22"/>
          <w:szCs w:val="28"/>
        </w:rPr>
      </w:pPr>
      <w:r>
        <w:rPr>
          <w:rFonts w:ascii="仿宋" w:eastAsia="仿宋" w:hAnsi="仿宋" w:cs="仿宋" w:hint="eastAsia"/>
          <w:sz w:val="22"/>
          <w:szCs w:val="28"/>
        </w:rPr>
        <w:t>CTTI2023年度智库优秀成果特等奖代表被授予获奖证书</w:t>
      </w:r>
    </w:p>
    <w:p w:rsidR="00487D10" w:rsidRDefault="00487D10">
      <w:pPr>
        <w:ind w:firstLineChars="200" w:firstLine="440"/>
        <w:rPr>
          <w:rFonts w:ascii="仿宋" w:eastAsia="仿宋" w:hAnsi="仿宋" w:cs="仿宋"/>
          <w:sz w:val="22"/>
          <w:szCs w:val="28"/>
        </w:rPr>
      </w:pPr>
    </w:p>
    <w:p w:rsidR="00487D10" w:rsidRDefault="009C495A">
      <w:pPr>
        <w:ind w:firstLineChars="200" w:firstLine="440"/>
        <w:rPr>
          <w:rFonts w:ascii="仿宋" w:eastAsia="仿宋" w:hAnsi="仿宋" w:cs="仿宋"/>
          <w:sz w:val="22"/>
          <w:szCs w:val="28"/>
        </w:rPr>
      </w:pPr>
      <w:r>
        <w:rPr>
          <w:rFonts w:ascii="仿宋" w:eastAsia="仿宋" w:hAnsi="仿宋" w:cs="仿宋" w:hint="eastAsia"/>
          <w:sz w:val="22"/>
          <w:szCs w:val="28"/>
        </w:rPr>
        <w:t>2022年12月，北京大学中外人文交流研究基地申报的《创新高端智库媒体合作机制，推动国际话语传播能力建设》荣获</w:t>
      </w:r>
      <w:r>
        <w:rPr>
          <w:rFonts w:ascii="仿宋" w:eastAsia="仿宋" w:hAnsi="仿宋" w:cs="仿宋" w:hint="eastAsia"/>
          <w:b/>
          <w:bCs/>
          <w:sz w:val="22"/>
          <w:szCs w:val="28"/>
        </w:rPr>
        <w:t>CTTI2022年度智库最佳案例“标杆案例”奖</w:t>
      </w:r>
      <w:r>
        <w:rPr>
          <w:rFonts w:ascii="仿宋" w:eastAsia="仿宋" w:hAnsi="仿宋" w:cs="仿宋" w:hint="eastAsia"/>
          <w:sz w:val="22"/>
          <w:szCs w:val="28"/>
        </w:rPr>
        <w:t>；《战略领域的中美关系》中美联合研究项目：《跨越“修昔底德陷阱”：战略领域的中美关系》Avoiding the Thucydides Trap: U.S.-China Relations in Strategic Domains（作者：</w:t>
      </w:r>
      <w:proofErr w:type="gramStart"/>
      <w:r>
        <w:rPr>
          <w:rFonts w:ascii="仿宋" w:eastAsia="仿宋" w:hAnsi="仿宋" w:cs="仿宋" w:hint="eastAsia"/>
          <w:sz w:val="22"/>
          <w:szCs w:val="28"/>
        </w:rPr>
        <w:t>王栋[</w:t>
      </w:r>
      <w:proofErr w:type="gramEnd"/>
      <w:r>
        <w:rPr>
          <w:rFonts w:ascii="仿宋" w:eastAsia="仿宋" w:hAnsi="仿宋" w:cs="仿宋" w:hint="eastAsia"/>
          <w:sz w:val="22"/>
          <w:szCs w:val="28"/>
        </w:rPr>
        <w:t>Dong Wang]、谭俊辉[Travis Tanner]主编）</w:t>
      </w:r>
      <w:r>
        <w:rPr>
          <w:rFonts w:ascii="仿宋" w:eastAsia="仿宋" w:hAnsi="仿宋" w:cs="仿宋" w:hint="eastAsia"/>
          <w:b/>
          <w:bCs/>
          <w:sz w:val="22"/>
          <w:szCs w:val="28"/>
        </w:rPr>
        <w:t>荣获CTTI2022年度智库优秀成果特等奖</w:t>
      </w:r>
      <w:r>
        <w:rPr>
          <w:rFonts w:ascii="仿宋" w:eastAsia="仿宋" w:hAnsi="仿宋" w:cs="仿宋" w:hint="eastAsia"/>
          <w:sz w:val="22"/>
          <w:szCs w:val="28"/>
        </w:rPr>
        <w:t>。</w:t>
      </w:r>
    </w:p>
    <w:p w:rsidR="00487D10" w:rsidRDefault="00487D10">
      <w:pPr>
        <w:ind w:firstLineChars="200" w:firstLine="440"/>
        <w:rPr>
          <w:rFonts w:ascii="仿宋" w:eastAsia="仿宋" w:hAnsi="仿宋" w:cs="仿宋"/>
          <w:sz w:val="22"/>
          <w:szCs w:val="28"/>
        </w:rPr>
      </w:pPr>
    </w:p>
    <w:p w:rsidR="00487D10" w:rsidRDefault="009C495A">
      <w:pPr>
        <w:ind w:firstLineChars="200" w:firstLine="442"/>
        <w:rPr>
          <w:rFonts w:ascii="仿宋" w:eastAsia="仿宋" w:hAnsi="仿宋" w:cs="仿宋"/>
          <w:sz w:val="22"/>
          <w:szCs w:val="28"/>
        </w:rPr>
      </w:pPr>
      <w:r>
        <w:rPr>
          <w:rFonts w:ascii="仿宋" w:eastAsia="仿宋" w:hAnsi="仿宋" w:cs="仿宋" w:hint="eastAsia"/>
          <w:b/>
          <w:bCs/>
          <w:sz w:val="22"/>
          <w:szCs w:val="28"/>
        </w:rPr>
        <w:t>北京大学中外人文交流研究基地</w:t>
      </w:r>
      <w:r>
        <w:rPr>
          <w:rFonts w:ascii="仿宋" w:eastAsia="仿宋" w:hAnsi="仿宋" w:cs="仿宋" w:hint="eastAsia"/>
          <w:sz w:val="22"/>
          <w:szCs w:val="28"/>
        </w:rPr>
        <w:t>是由教育部批准设立并由北京大学承办的集教学科研、政策咨询与人才培训为一体的中国特色新型智库。目前，基地是北大唯一一家教育部设立的人文交流综合智库，服务于人文交流“十大机制”，引领国内人文交流研究的高地，统筹、协调和推进我国中外人文交流事业的建设。</w:t>
      </w:r>
      <w:r w:rsidR="00262C17">
        <w:rPr>
          <w:rFonts w:ascii="仿宋" w:eastAsia="仿宋" w:hAnsi="仿宋" w:cs="仿宋" w:hint="eastAsia"/>
          <w:sz w:val="22"/>
          <w:szCs w:val="28"/>
        </w:rPr>
        <w:t>2</w:t>
      </w:r>
      <w:r w:rsidR="00262C17">
        <w:rPr>
          <w:rFonts w:ascii="仿宋" w:eastAsia="仿宋" w:hAnsi="仿宋" w:cs="仿宋"/>
          <w:sz w:val="22"/>
          <w:szCs w:val="28"/>
        </w:rPr>
        <w:t>020</w:t>
      </w:r>
      <w:r w:rsidR="00262C17">
        <w:rPr>
          <w:rFonts w:ascii="仿宋" w:eastAsia="仿宋" w:hAnsi="仿宋" w:cs="仿宋" w:hint="eastAsia"/>
          <w:sz w:val="22"/>
          <w:szCs w:val="28"/>
        </w:rPr>
        <w:t>年1</w:t>
      </w:r>
      <w:r w:rsidR="00262C17">
        <w:rPr>
          <w:rFonts w:ascii="仿宋" w:eastAsia="仿宋" w:hAnsi="仿宋" w:cs="仿宋"/>
          <w:sz w:val="22"/>
          <w:szCs w:val="28"/>
        </w:rPr>
        <w:t>2</w:t>
      </w:r>
      <w:r w:rsidR="00262C17">
        <w:rPr>
          <w:rFonts w:ascii="仿宋" w:eastAsia="仿宋" w:hAnsi="仿宋" w:cs="仿宋" w:hint="eastAsia"/>
          <w:sz w:val="22"/>
          <w:szCs w:val="28"/>
        </w:rPr>
        <w:t>月，基地入选中国智库索引（C</w:t>
      </w:r>
      <w:r w:rsidR="00262C17">
        <w:rPr>
          <w:rFonts w:ascii="仿宋" w:eastAsia="仿宋" w:hAnsi="仿宋" w:cs="仿宋"/>
          <w:sz w:val="22"/>
          <w:szCs w:val="28"/>
        </w:rPr>
        <w:t>TTI</w:t>
      </w:r>
      <w:r w:rsidR="00262C17">
        <w:rPr>
          <w:rFonts w:ascii="仿宋" w:eastAsia="仿宋" w:hAnsi="仿宋" w:cs="仿宋" w:hint="eastAsia"/>
          <w:sz w:val="22"/>
          <w:szCs w:val="28"/>
        </w:rPr>
        <w:t>）来源智库。2</w:t>
      </w:r>
      <w:r w:rsidR="00262C17">
        <w:rPr>
          <w:rFonts w:ascii="仿宋" w:eastAsia="仿宋" w:hAnsi="仿宋" w:cs="仿宋"/>
          <w:sz w:val="22"/>
          <w:szCs w:val="28"/>
        </w:rPr>
        <w:t>021</w:t>
      </w:r>
      <w:r w:rsidR="00262C17">
        <w:rPr>
          <w:rFonts w:ascii="仿宋" w:eastAsia="仿宋" w:hAnsi="仿宋" w:cs="仿宋" w:hint="eastAsia"/>
          <w:sz w:val="22"/>
          <w:szCs w:val="28"/>
        </w:rPr>
        <w:t>年1月，基地入选全球最有影响力的智库排名之一、美国宾夕法尼亚大学的《全球智库报告》（G</w:t>
      </w:r>
      <w:r w:rsidR="00262C17">
        <w:rPr>
          <w:rFonts w:ascii="仿宋" w:eastAsia="仿宋" w:hAnsi="仿宋" w:cs="仿宋"/>
          <w:sz w:val="22"/>
          <w:szCs w:val="28"/>
        </w:rPr>
        <w:t>lobal Go To Think Tank Index Report</w:t>
      </w:r>
      <w:r w:rsidR="00262C17">
        <w:rPr>
          <w:rFonts w:ascii="仿宋" w:eastAsia="仿宋" w:hAnsi="仿宋" w:cs="仿宋" w:hint="eastAsia"/>
          <w:sz w:val="22"/>
          <w:szCs w:val="28"/>
        </w:rPr>
        <w:t>）“</w:t>
      </w:r>
      <w:r w:rsidR="00262C17">
        <w:rPr>
          <w:rFonts w:ascii="仿宋" w:eastAsia="仿宋" w:hAnsi="仿宋" w:cs="仿宋"/>
          <w:sz w:val="22"/>
          <w:szCs w:val="28"/>
        </w:rPr>
        <w:t>2020</w:t>
      </w:r>
      <w:r w:rsidR="00262C17">
        <w:rPr>
          <w:rFonts w:ascii="仿宋" w:eastAsia="仿宋" w:hAnsi="仿宋" w:cs="仿宋" w:hint="eastAsia"/>
          <w:sz w:val="22"/>
          <w:szCs w:val="28"/>
        </w:rPr>
        <w:t>年亚洲大国（中国、印度、日本、韩国）百强智库榜单（排名第7</w:t>
      </w:r>
      <w:r w:rsidR="00262C17">
        <w:rPr>
          <w:rFonts w:ascii="仿宋" w:eastAsia="仿宋" w:hAnsi="仿宋" w:cs="仿宋"/>
          <w:sz w:val="22"/>
          <w:szCs w:val="28"/>
        </w:rPr>
        <w:t>6</w:t>
      </w:r>
      <w:r w:rsidR="00262C17">
        <w:rPr>
          <w:rFonts w:ascii="仿宋" w:eastAsia="仿宋" w:hAnsi="仿宋" w:cs="仿宋" w:hint="eastAsia"/>
          <w:sz w:val="22"/>
          <w:szCs w:val="28"/>
        </w:rPr>
        <w:t>位，在上榜的中国智库中名列第1</w:t>
      </w:r>
      <w:r w:rsidR="00262C17">
        <w:rPr>
          <w:rFonts w:ascii="仿宋" w:eastAsia="仿宋" w:hAnsi="仿宋" w:cs="仿宋"/>
          <w:sz w:val="22"/>
          <w:szCs w:val="28"/>
        </w:rPr>
        <w:t>7</w:t>
      </w:r>
      <w:r w:rsidR="00262C17">
        <w:rPr>
          <w:rFonts w:ascii="仿宋" w:eastAsia="仿宋" w:hAnsi="仿宋" w:cs="仿宋" w:hint="eastAsia"/>
          <w:sz w:val="22"/>
          <w:szCs w:val="28"/>
        </w:rPr>
        <w:t>位）。</w:t>
      </w:r>
      <w:bookmarkStart w:id="0" w:name="_GoBack"/>
      <w:bookmarkEnd w:id="0"/>
    </w:p>
    <w:p w:rsidR="00487D10" w:rsidRDefault="00487D10">
      <w:pPr>
        <w:jc w:val="left"/>
        <w:rPr>
          <w:rFonts w:ascii="仿宋" w:eastAsia="仿宋" w:hAnsi="仿宋" w:cs="仿宋"/>
          <w:sz w:val="22"/>
          <w:szCs w:val="28"/>
        </w:rPr>
      </w:pPr>
    </w:p>
    <w:sectPr w:rsidR="00487D1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2BCF" w:rsidRDefault="001A2BCF" w:rsidP="00956039">
      <w:r>
        <w:separator/>
      </w:r>
    </w:p>
  </w:endnote>
  <w:endnote w:type="continuationSeparator" w:id="0">
    <w:p w:rsidR="001A2BCF" w:rsidRDefault="001A2BCF" w:rsidP="009560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2BCF" w:rsidRDefault="001A2BCF" w:rsidP="00956039">
      <w:r>
        <w:separator/>
      </w:r>
    </w:p>
  </w:footnote>
  <w:footnote w:type="continuationSeparator" w:id="0">
    <w:p w:rsidR="001A2BCF" w:rsidRDefault="001A2BCF" w:rsidP="0095603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defaultTabStop w:val="420"/>
  <w:drawingGridVerticalSpacing w:val="156"/>
  <w:noPunctuationKerning/>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U0NDQ4YzNhMmU4ODliODRlMjg3OTZiNGZiNDdlMDEifQ=="/>
  </w:docVars>
  <w:rsids>
    <w:rsidRoot w:val="F7FF0FDE"/>
    <w:rsid w:val="E4EDB37D"/>
    <w:rsid w:val="F7FF0FDE"/>
    <w:rsid w:val="FFFB34D2"/>
    <w:rsid w:val="001A2BCF"/>
    <w:rsid w:val="00262C17"/>
    <w:rsid w:val="002D6019"/>
    <w:rsid w:val="00370C3A"/>
    <w:rsid w:val="003721CB"/>
    <w:rsid w:val="004309DC"/>
    <w:rsid w:val="00472515"/>
    <w:rsid w:val="00487D10"/>
    <w:rsid w:val="00607B48"/>
    <w:rsid w:val="007415EB"/>
    <w:rsid w:val="00834556"/>
    <w:rsid w:val="00956039"/>
    <w:rsid w:val="009C495A"/>
    <w:rsid w:val="009C5C03"/>
    <w:rsid w:val="00AE6D11"/>
    <w:rsid w:val="00B54FD0"/>
    <w:rsid w:val="00BC392E"/>
    <w:rsid w:val="00BD0C91"/>
    <w:rsid w:val="00C43EEC"/>
    <w:rsid w:val="00C52E30"/>
    <w:rsid w:val="00D978F2"/>
    <w:rsid w:val="033425CB"/>
    <w:rsid w:val="04042B02"/>
    <w:rsid w:val="072D63F4"/>
    <w:rsid w:val="085024A3"/>
    <w:rsid w:val="14F13615"/>
    <w:rsid w:val="1E027949"/>
    <w:rsid w:val="2100447E"/>
    <w:rsid w:val="21BC67D1"/>
    <w:rsid w:val="22F15C15"/>
    <w:rsid w:val="248D6EEC"/>
    <w:rsid w:val="268F7232"/>
    <w:rsid w:val="2C9046F9"/>
    <w:rsid w:val="31C43436"/>
    <w:rsid w:val="3EDEF0C9"/>
    <w:rsid w:val="3FD414E4"/>
    <w:rsid w:val="46EA2022"/>
    <w:rsid w:val="4ACF6136"/>
    <w:rsid w:val="524B7369"/>
    <w:rsid w:val="543E2618"/>
    <w:rsid w:val="59A05207"/>
    <w:rsid w:val="5D1B4D67"/>
    <w:rsid w:val="5FB3756A"/>
    <w:rsid w:val="62F614FC"/>
    <w:rsid w:val="633167EB"/>
    <w:rsid w:val="64397115"/>
    <w:rsid w:val="66571A80"/>
    <w:rsid w:val="69EA3491"/>
    <w:rsid w:val="6D3506BB"/>
    <w:rsid w:val="6DC91C45"/>
    <w:rsid w:val="71F60CEC"/>
    <w:rsid w:val="744C5149"/>
    <w:rsid w:val="74AA67BE"/>
    <w:rsid w:val="77B11C41"/>
    <w:rsid w:val="782F6F8B"/>
    <w:rsid w:val="7E4214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6FB90A"/>
  <w15:docId w15:val="{9BAB297D-3CFB-43A4-948B-0246FC8208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annotation reference"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qFormat/>
    <w:pPr>
      <w:jc w:val="left"/>
    </w:pPr>
  </w:style>
  <w:style w:type="paragraph" w:styleId="a5">
    <w:name w:val="footer"/>
    <w:basedOn w:val="a"/>
    <w:link w:val="a6"/>
    <w:qFormat/>
    <w:pPr>
      <w:tabs>
        <w:tab w:val="center" w:pos="4153"/>
        <w:tab w:val="right" w:pos="8306"/>
      </w:tabs>
      <w:snapToGrid w:val="0"/>
      <w:jc w:val="left"/>
    </w:pPr>
    <w:rPr>
      <w:sz w:val="18"/>
      <w:szCs w:val="18"/>
    </w:rPr>
  </w:style>
  <w:style w:type="paragraph" w:styleId="a7">
    <w:name w:val="header"/>
    <w:basedOn w:val="a"/>
    <w:link w:val="a8"/>
    <w:qFormat/>
    <w:pPr>
      <w:tabs>
        <w:tab w:val="center" w:pos="4153"/>
        <w:tab w:val="right" w:pos="8306"/>
      </w:tabs>
      <w:snapToGrid w:val="0"/>
      <w:jc w:val="center"/>
    </w:pPr>
    <w:rPr>
      <w:sz w:val="18"/>
      <w:szCs w:val="18"/>
    </w:rPr>
  </w:style>
  <w:style w:type="paragraph" w:styleId="a9">
    <w:name w:val="annotation subject"/>
    <w:basedOn w:val="a3"/>
    <w:next w:val="a3"/>
    <w:link w:val="aa"/>
    <w:qFormat/>
    <w:rPr>
      <w:b/>
      <w:bCs/>
    </w:rPr>
  </w:style>
  <w:style w:type="character" w:styleId="ab">
    <w:name w:val="annotation reference"/>
    <w:basedOn w:val="a0"/>
    <w:qFormat/>
    <w:rPr>
      <w:sz w:val="21"/>
      <w:szCs w:val="21"/>
    </w:rPr>
  </w:style>
  <w:style w:type="character" w:customStyle="1" w:styleId="a8">
    <w:name w:val="页眉 字符"/>
    <w:basedOn w:val="a0"/>
    <w:link w:val="a7"/>
    <w:qFormat/>
    <w:rPr>
      <w:rFonts w:asciiTheme="minorHAnsi" w:eastAsiaTheme="minorEastAsia" w:hAnsiTheme="minorHAnsi" w:cstheme="minorBidi"/>
      <w:kern w:val="2"/>
      <w:sz w:val="18"/>
      <w:szCs w:val="18"/>
    </w:rPr>
  </w:style>
  <w:style w:type="character" w:customStyle="1" w:styleId="a6">
    <w:name w:val="页脚 字符"/>
    <w:basedOn w:val="a0"/>
    <w:link w:val="a5"/>
    <w:qFormat/>
    <w:rPr>
      <w:rFonts w:asciiTheme="minorHAnsi" w:eastAsiaTheme="minorEastAsia" w:hAnsiTheme="minorHAnsi" w:cstheme="minorBidi"/>
      <w:kern w:val="2"/>
      <w:sz w:val="18"/>
      <w:szCs w:val="18"/>
    </w:rPr>
  </w:style>
  <w:style w:type="character" w:customStyle="1" w:styleId="a4">
    <w:name w:val="批注文字 字符"/>
    <w:basedOn w:val="a0"/>
    <w:link w:val="a3"/>
    <w:qFormat/>
    <w:rPr>
      <w:rFonts w:asciiTheme="minorHAnsi" w:eastAsiaTheme="minorEastAsia" w:hAnsiTheme="minorHAnsi" w:cstheme="minorBidi"/>
      <w:kern w:val="2"/>
      <w:sz w:val="21"/>
      <w:szCs w:val="24"/>
    </w:rPr>
  </w:style>
  <w:style w:type="character" w:customStyle="1" w:styleId="aa">
    <w:name w:val="批注主题 字符"/>
    <w:basedOn w:val="a4"/>
    <w:link w:val="a9"/>
    <w:qFormat/>
    <w:rPr>
      <w:rFonts w:asciiTheme="minorHAnsi" w:eastAsiaTheme="minorEastAsia" w:hAnsiTheme="minorHAnsi" w:cstheme="minorBidi"/>
      <w:b/>
      <w:bCs/>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3</Pages>
  <Words>269</Words>
  <Characters>1537</Characters>
  <Application>Microsoft Office Word</Application>
  <DocSecurity>0</DocSecurity>
  <Lines>12</Lines>
  <Paragraphs>3</Paragraphs>
  <ScaleCrop>false</ScaleCrop>
  <Company/>
  <LinksUpToDate>false</LinksUpToDate>
  <CharactersWithSpaces>1803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Sunny</dc:creator>
  <cp:lastModifiedBy>Wangdong</cp:lastModifiedBy>
  <cp:revision>8</cp:revision>
  <dcterms:created xsi:type="dcterms:W3CDTF">2023-12-13T09:49:00Z</dcterms:created>
  <dcterms:modified xsi:type="dcterms:W3CDTF">2024-01-03T15:39:00Z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E81A370D22FA4CEB97DAB6FED9900B11_13</vt:lpwstr>
  </property>
</Properties>
</file>